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方正小标宋简体" w:eastAsia="方正小标宋简体" w:cs="方正小标宋简体"/>
          <w:b w:val="0"/>
          <w:bCs w:val="0"/>
          <w:spacing w:val="-11"/>
          <w:sz w:val="44"/>
          <w:szCs w:val="44"/>
        </w:rPr>
      </w:pPr>
    </w:p>
    <w:p>
      <w:pPr>
        <w:spacing w:line="640" w:lineRule="exact"/>
        <w:jc w:val="center"/>
        <w:rPr>
          <w:rFonts w:hint="eastAsia" w:ascii="方正小标宋简体" w:hAnsi="方正小标宋简体" w:eastAsia="方正小标宋简体" w:cs="方正小标宋简体"/>
          <w:b w:val="0"/>
          <w:bCs w:val="0"/>
          <w:spacing w:val="-11"/>
          <w:sz w:val="44"/>
          <w:szCs w:val="44"/>
        </w:rPr>
      </w:pPr>
    </w:p>
    <w:p>
      <w:pPr>
        <w:spacing w:line="640" w:lineRule="exact"/>
        <w:jc w:val="center"/>
        <w:rPr>
          <w:rFonts w:hint="eastAsia" w:ascii="方正小标宋简体" w:hAnsi="方正小标宋简体" w:eastAsia="方正小标宋简体" w:cs="方正小标宋简体"/>
          <w:b w:val="0"/>
          <w:bCs w:val="0"/>
          <w:spacing w:val="-11"/>
          <w:sz w:val="44"/>
          <w:szCs w:val="44"/>
        </w:rPr>
      </w:pPr>
      <w:r>
        <w:rPr>
          <w:rFonts w:hint="eastAsia" w:ascii="方正小标宋简体" w:hAnsi="方正小标宋简体" w:eastAsia="方正小标宋简体" w:cs="方正小标宋简体"/>
          <w:b w:val="0"/>
          <w:bCs w:val="0"/>
          <w:spacing w:val="-11"/>
          <w:sz w:val="44"/>
          <w:szCs w:val="44"/>
        </w:rPr>
        <w:t>关于加快发展企业年金的指导意见</w:t>
      </w:r>
    </w:p>
    <w:p>
      <w:pPr>
        <w:spacing w:line="600" w:lineRule="exact"/>
        <w:jc w:val="center"/>
        <w:rPr>
          <w:rStyle w:val="10"/>
          <w:rFonts w:hint="default" w:ascii="FreeSerif" w:hAnsi="FreeSerif" w:eastAsia="方正小标宋_GBK" w:cs="FreeSerif"/>
          <w:b w:val="0"/>
          <w:bCs/>
          <w:color w:val="000000"/>
          <w:sz w:val="44"/>
          <w:szCs w:val="44"/>
          <w:shd w:val="clear" w:color="auto" w:fill="FFFFFF"/>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FreeSerif" w:hAnsi="FreeSerif" w:eastAsia="仿宋_GB2312" w:cs="FreeSerif"/>
          <w:color w:val="000000"/>
          <w:kern w:val="2"/>
          <w:sz w:val="32"/>
          <w:szCs w:val="32"/>
          <w:shd w:val="clear" w:color="auto" w:fill="FFFFFF"/>
          <w:lang w:val="en-US" w:eastAsia="zh-CN" w:bidi="ar-SA"/>
        </w:rPr>
      </w:pPr>
      <w:r>
        <w:rPr>
          <w:rFonts w:hint="default" w:ascii="FreeSerif" w:hAnsi="FreeSerif" w:eastAsia="仿宋_GB2312" w:cs="FreeSerif"/>
          <w:color w:val="000000"/>
          <w:kern w:val="2"/>
          <w:sz w:val="32"/>
          <w:szCs w:val="32"/>
          <w:shd w:val="clear" w:color="auto" w:fill="FFFFFF"/>
          <w:lang w:val="en-US" w:eastAsia="zh-CN" w:bidi="ar-SA"/>
        </w:rPr>
        <w:t>各</w:t>
      </w:r>
      <w:r>
        <w:rPr>
          <w:rFonts w:hint="eastAsia" w:ascii="FreeSerif" w:hAnsi="FreeSerif" w:eastAsia="仿宋_GB2312" w:cs="FreeSerif"/>
          <w:color w:val="000000"/>
          <w:kern w:val="2"/>
          <w:sz w:val="32"/>
          <w:szCs w:val="32"/>
          <w:shd w:val="clear" w:color="auto" w:fill="FFFFFF"/>
          <w:lang w:val="en-US" w:eastAsia="zh-CN" w:bidi="ar-SA"/>
        </w:rPr>
        <w:t>盟市人力资源和社会保障局</w:t>
      </w:r>
      <w:r>
        <w:rPr>
          <w:rFonts w:hint="default" w:ascii="FreeSerif" w:hAnsi="FreeSerif" w:eastAsia="仿宋_GB2312" w:cs="FreeSerif"/>
          <w:color w:val="000000"/>
          <w:kern w:val="2"/>
          <w:sz w:val="32"/>
          <w:szCs w:val="32"/>
          <w:shd w:val="clear" w:color="auto" w:fill="FFFFFF"/>
          <w:lang w:val="en-US" w:eastAsia="zh-CN" w:bidi="ar-SA"/>
        </w:rPr>
        <w:t>、</w:t>
      </w:r>
      <w:r>
        <w:rPr>
          <w:rFonts w:hint="eastAsia" w:ascii="FreeSerif" w:hAnsi="FreeSerif" w:eastAsia="仿宋_GB2312" w:cs="FreeSerif"/>
          <w:color w:val="000000"/>
          <w:kern w:val="2"/>
          <w:sz w:val="32"/>
          <w:szCs w:val="32"/>
          <w:shd w:val="clear" w:color="auto" w:fill="FFFFFF"/>
          <w:lang w:val="en-US" w:eastAsia="zh-CN" w:bidi="ar-SA"/>
        </w:rPr>
        <w:t>国有资产监督管理委员会</w:t>
      </w:r>
      <w:r>
        <w:rPr>
          <w:rFonts w:hint="default" w:ascii="FreeSerif" w:hAnsi="FreeSerif" w:eastAsia="仿宋_GB2312" w:cs="FreeSerif"/>
          <w:color w:val="000000"/>
          <w:kern w:val="2"/>
          <w:sz w:val="32"/>
          <w:szCs w:val="32"/>
          <w:shd w:val="clear" w:color="auto" w:fill="FFFFFF"/>
          <w:lang w:val="en-US" w:eastAsia="zh-CN" w:bidi="ar-SA"/>
        </w:rPr>
        <w:t>，</w:t>
      </w:r>
      <w:r>
        <w:rPr>
          <w:rFonts w:hint="eastAsia" w:ascii="FreeSerif" w:hAnsi="FreeSerif" w:eastAsia="仿宋_GB2312" w:cs="FreeSerif"/>
          <w:color w:val="000000"/>
          <w:kern w:val="2"/>
          <w:sz w:val="32"/>
          <w:szCs w:val="32"/>
          <w:shd w:val="clear" w:color="auto" w:fill="FFFFFF"/>
          <w:lang w:val="en-US" w:eastAsia="zh-CN" w:bidi="ar-SA"/>
        </w:rPr>
        <w:t>国家税务总局各盟市税务局；</w:t>
      </w:r>
      <w:r>
        <w:rPr>
          <w:rFonts w:hint="default" w:ascii="FreeSerif" w:hAnsi="FreeSerif" w:eastAsia="仿宋_GB2312" w:cs="FreeSerif"/>
          <w:color w:val="000000"/>
          <w:kern w:val="2"/>
          <w:sz w:val="32"/>
          <w:szCs w:val="32"/>
          <w:shd w:val="clear" w:color="auto" w:fill="FFFFFF"/>
          <w:lang w:val="en-US" w:eastAsia="zh-CN" w:bidi="ar-SA"/>
        </w:rPr>
        <w:t>满洲里市、二连浩特市人力资源和社会保障局、</w:t>
      </w:r>
      <w:r>
        <w:rPr>
          <w:rFonts w:hint="eastAsia" w:ascii="FreeSerif" w:hAnsi="FreeSerif" w:eastAsia="仿宋_GB2312" w:cs="FreeSerif"/>
          <w:color w:val="000000"/>
          <w:kern w:val="2"/>
          <w:sz w:val="32"/>
          <w:szCs w:val="32"/>
          <w:shd w:val="clear" w:color="auto" w:fill="FFFFFF"/>
          <w:lang w:val="en-US" w:eastAsia="zh-CN" w:bidi="ar-SA"/>
        </w:rPr>
        <w:t>国有资产监督管理委员会，国家税务总局</w:t>
      </w:r>
      <w:r>
        <w:rPr>
          <w:rFonts w:hint="default" w:ascii="FreeSerif" w:hAnsi="FreeSerif" w:eastAsia="仿宋_GB2312" w:cs="FreeSerif"/>
          <w:color w:val="000000"/>
          <w:kern w:val="2"/>
          <w:sz w:val="32"/>
          <w:szCs w:val="32"/>
          <w:shd w:val="clear" w:color="auto" w:fill="FFFFFF"/>
          <w:lang w:val="en-US" w:eastAsia="zh-CN" w:bidi="ar-SA"/>
        </w:rPr>
        <w:t>满洲里市、二连浩特市税务局：</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FreeSerif" w:hAnsi="FreeSerif" w:eastAsia="仿宋_GB2312" w:cs="FreeSerif"/>
          <w:color w:val="000000"/>
          <w:kern w:val="2"/>
          <w:sz w:val="32"/>
          <w:szCs w:val="32"/>
          <w:shd w:val="clear" w:color="auto" w:fill="FFFFFF"/>
        </w:rPr>
      </w:pPr>
      <w:r>
        <w:rPr>
          <w:rFonts w:hint="default" w:ascii="FreeSerif" w:hAnsi="FreeSerif" w:eastAsia="仿宋_GB2312" w:cs="FreeSerif"/>
          <w:color w:val="000000"/>
          <w:kern w:val="2"/>
          <w:sz w:val="32"/>
          <w:szCs w:val="32"/>
          <w:shd w:val="clear" w:color="auto" w:fill="FFFFFF"/>
        </w:rPr>
        <w:t>为贯彻落实党的二十届三中全会精神，</w:t>
      </w:r>
      <w:r>
        <w:rPr>
          <w:rFonts w:hint="default" w:ascii="FreeSerif" w:hAnsi="FreeSerif" w:eastAsia="仿宋_GB2312" w:cs="FreeSerif"/>
          <w:color w:val="000000"/>
          <w:kern w:val="2"/>
          <w:sz w:val="32"/>
          <w:szCs w:val="32"/>
          <w:shd w:val="clear" w:color="auto" w:fill="FFFFFF"/>
          <w:lang w:eastAsia="zh-CN"/>
        </w:rPr>
        <w:t>以铸牢中华民族共同体意识为工作主线，</w:t>
      </w:r>
      <w:r>
        <w:rPr>
          <w:rFonts w:hint="default" w:ascii="FreeSerif" w:hAnsi="FreeSerif" w:eastAsia="仿宋_GB2312" w:cs="FreeSerif"/>
          <w:color w:val="000000"/>
          <w:kern w:val="2"/>
          <w:sz w:val="32"/>
          <w:szCs w:val="32"/>
          <w:shd w:val="clear" w:color="auto" w:fill="FFFFFF"/>
        </w:rPr>
        <w:t>加快构建多层次、多支柱养老保险体系，不断扩大企业年金覆盖范围，依据《内蒙古自治区人民政府关于建设多层次多支柱养老保险体系的意见》（内政发〔2024〕18号），现就加快企业年金发展提出如下指导意见：</w:t>
      </w:r>
    </w:p>
    <w:p>
      <w:pPr>
        <w:pStyle w:val="7"/>
        <w:shd w:val="clear" w:color="auto" w:fill="FFFFFF"/>
        <w:spacing w:before="0" w:beforeAutospacing="0" w:after="0" w:afterAutospacing="0" w:line="600" w:lineRule="exact"/>
        <w:jc w:val="both"/>
        <w:rPr>
          <w:rFonts w:hint="default" w:ascii="FreeSerif" w:hAnsi="FreeSerif" w:eastAsia="仿宋_GB2312" w:cs="FreeSerif"/>
          <w:color w:val="000000"/>
          <w:kern w:val="2"/>
          <w:sz w:val="32"/>
          <w:szCs w:val="32"/>
          <w:shd w:val="clear" w:color="auto" w:fill="FFFFFF"/>
        </w:rPr>
      </w:pPr>
      <w:r>
        <w:rPr>
          <w:rFonts w:hint="default" w:ascii="FreeSerif" w:hAnsi="FreeSerif" w:eastAsia="仿宋_GB2312" w:cs="FreeSerif"/>
          <w:color w:val="000000"/>
          <w:kern w:val="2"/>
          <w:sz w:val="32"/>
          <w:szCs w:val="32"/>
          <w:shd w:val="clear" w:color="auto" w:fill="FFFFFF"/>
        </w:rPr>
        <w:t>　　</w:t>
      </w:r>
      <w:r>
        <w:rPr>
          <w:rFonts w:hint="default" w:ascii="FreeSerif" w:hAnsi="FreeSerif" w:eastAsia="黑体" w:cs="FreeSerif"/>
          <w:color w:val="000000"/>
          <w:kern w:val="2"/>
          <w:sz w:val="32"/>
          <w:szCs w:val="32"/>
          <w:shd w:val="clear" w:color="auto" w:fill="FFFFFF"/>
        </w:rPr>
        <w:t>一、扩大企业年金制度覆盖范围</w:t>
      </w:r>
    </w:p>
    <w:p>
      <w:pPr>
        <w:spacing w:line="600" w:lineRule="exact"/>
        <w:ind w:firstLine="640" w:firstLineChars="200"/>
        <w:rPr>
          <w:rFonts w:hint="default" w:ascii="FreeSerif" w:hAnsi="FreeSerif" w:eastAsia="仿宋_GB2312" w:cs="FreeSerif"/>
          <w:color w:val="000000"/>
          <w:sz w:val="32"/>
          <w:szCs w:val="32"/>
          <w:shd w:val="clear" w:color="auto" w:fill="FFFFFF"/>
          <w:lang w:val="en-US"/>
        </w:rPr>
      </w:pPr>
      <w:r>
        <w:rPr>
          <w:rFonts w:hint="eastAsia" w:ascii="楷体_GB2312" w:hAnsi="楷体_GB2312" w:eastAsia="楷体_GB2312" w:cs="楷体_GB2312"/>
          <w:color w:val="000000"/>
          <w:sz w:val="32"/>
          <w:szCs w:val="32"/>
          <w:shd w:val="clear" w:color="auto" w:fill="FFFFFF"/>
          <w:lang w:eastAsia="zh-CN"/>
        </w:rPr>
        <w:t>（一）</w:t>
      </w:r>
      <w:r>
        <w:rPr>
          <w:rFonts w:hint="eastAsia" w:ascii="楷体_GB2312" w:hAnsi="楷体_GB2312" w:eastAsia="楷体_GB2312" w:cs="楷体_GB2312"/>
          <w:color w:val="000000"/>
          <w:sz w:val="32"/>
          <w:szCs w:val="32"/>
          <w:shd w:val="clear" w:color="auto" w:fill="FFFFFF"/>
        </w:rPr>
        <w:t>推动国有企业建立覆盖全员的企业年金。</w:t>
      </w:r>
      <w:r>
        <w:rPr>
          <w:rFonts w:hint="default" w:ascii="FreeSerif" w:hAnsi="FreeSerif" w:eastAsia="仿宋_GB2312" w:cs="FreeSerif"/>
          <w:sz w:val="32"/>
          <w:szCs w:val="32"/>
        </w:rPr>
        <w:t>各级</w:t>
      </w:r>
      <w:r>
        <w:rPr>
          <w:rFonts w:hint="default" w:ascii="FreeSerif" w:hAnsi="FreeSerif" w:eastAsia="仿宋_GB2312" w:cs="FreeSerif"/>
          <w:color w:val="000000"/>
          <w:sz w:val="32"/>
          <w:szCs w:val="32"/>
          <w:shd w:val="clear" w:color="auto" w:fill="FFFFFF"/>
        </w:rPr>
        <w:t>人力资源社会保障部门建立国有</w:t>
      </w:r>
      <w:r>
        <w:rPr>
          <w:rFonts w:hint="default" w:ascii="FreeSerif" w:hAnsi="FreeSerif" w:eastAsia="仿宋_GB2312" w:cs="FreeSerif"/>
          <w:color w:val="000000"/>
          <w:sz w:val="32"/>
          <w:szCs w:val="32"/>
          <w:shd w:val="clear" w:color="auto" w:fill="FFFFFF"/>
          <w:lang w:val="en"/>
        </w:rPr>
        <w:t>企业年金</w:t>
      </w:r>
      <w:r>
        <w:rPr>
          <w:rFonts w:hint="default" w:ascii="FreeSerif" w:hAnsi="FreeSerif" w:eastAsia="仿宋_GB2312" w:cs="FreeSerif"/>
          <w:color w:val="000000"/>
          <w:sz w:val="32"/>
          <w:szCs w:val="32"/>
          <w:shd w:val="clear" w:color="auto" w:fill="FFFFFF"/>
        </w:rPr>
        <w:t>自动加入机制，</w:t>
      </w:r>
      <w:r>
        <w:rPr>
          <w:rFonts w:hint="default" w:ascii="FreeSerif" w:hAnsi="FreeSerif" w:eastAsia="仿宋_GB2312" w:cs="FreeSerif"/>
          <w:color w:val="000000"/>
          <w:sz w:val="32"/>
          <w:szCs w:val="32"/>
          <w:shd w:val="clear" w:color="auto" w:fill="FFFFFF"/>
          <w:lang w:val="en"/>
        </w:rPr>
        <w:t>自治区</w:t>
      </w:r>
      <w:r>
        <w:rPr>
          <w:rFonts w:hint="default" w:ascii="FreeSerif" w:hAnsi="FreeSerif" w:eastAsia="仿宋_GB2312" w:cs="FreeSerif"/>
          <w:color w:val="000000"/>
          <w:sz w:val="32"/>
          <w:szCs w:val="32"/>
          <w:shd w:val="clear" w:color="auto" w:fill="FFFFFF"/>
        </w:rPr>
        <w:t>所属国有企业、国有控股企业原则上都要建立企业年金</w:t>
      </w:r>
      <w:r>
        <w:rPr>
          <w:rFonts w:hint="eastAsia" w:ascii="FreeSerif" w:hAnsi="FreeSerif" w:eastAsia="仿宋_GB2312" w:cs="FreeSerif"/>
          <w:color w:val="000000"/>
          <w:sz w:val="32"/>
          <w:szCs w:val="32"/>
          <w:shd w:val="clear" w:color="auto" w:fill="FFFFFF"/>
          <w:lang w:eastAsia="zh-CN"/>
        </w:rPr>
        <w:t>，企业如遇到经营亏损、重组并购等当期不能继续缴费的情况，经与职工一方协商，可以中止缴费。不能继续缴费的情况消失后，企业和职工恢复缴费，并可以根据本企业实际情况，按照中止缴费时的企业年金方案予以补缴，补缴的年限和金额不得超过实际中止缴费的年限和金额。因经营状况不佳暂时无条件建立的，应制定加入计划，待经营条件改善后要及时建立。</w:t>
      </w:r>
    </w:p>
    <w:p>
      <w:pPr>
        <w:pStyle w:val="7"/>
        <w:shd w:val="clear" w:color="auto" w:fill="FFFFFF"/>
        <w:spacing w:before="0" w:beforeAutospacing="0" w:after="0" w:afterAutospacing="0" w:line="600" w:lineRule="exact"/>
        <w:ind w:firstLine="640" w:firstLineChars="200"/>
        <w:jc w:val="both"/>
        <w:rPr>
          <w:rFonts w:hint="default" w:ascii="FreeSerif" w:hAnsi="FreeSerif" w:eastAsia="仿宋_GB2312" w:cs="FreeSerif"/>
          <w:sz w:val="32"/>
          <w:szCs w:val="32"/>
        </w:rPr>
      </w:pPr>
      <w:r>
        <w:rPr>
          <w:rFonts w:hint="eastAsia" w:ascii="楷体_GB2312" w:hAnsi="楷体_GB2312" w:eastAsia="楷体_GB2312" w:cs="楷体_GB2312"/>
          <w:color w:val="000000"/>
          <w:kern w:val="2"/>
          <w:sz w:val="32"/>
          <w:szCs w:val="32"/>
          <w:shd w:val="clear" w:color="auto" w:fill="FFFFFF"/>
          <w:lang w:eastAsia="zh-CN"/>
        </w:rPr>
        <w:t>（二）</w:t>
      </w:r>
      <w:r>
        <w:rPr>
          <w:rFonts w:hint="eastAsia" w:ascii="楷体_GB2312" w:hAnsi="楷体_GB2312" w:eastAsia="楷体_GB2312" w:cs="楷体_GB2312"/>
          <w:color w:val="000000"/>
          <w:kern w:val="2"/>
          <w:sz w:val="32"/>
          <w:szCs w:val="32"/>
          <w:shd w:val="clear" w:color="auto" w:fill="FFFFFF"/>
        </w:rPr>
        <w:t>推动各类用人单位建立企业年金。</w:t>
      </w:r>
      <w:r>
        <w:rPr>
          <w:rFonts w:hint="default" w:ascii="FreeSerif" w:hAnsi="FreeSerif" w:eastAsia="仿宋_GB2312" w:cs="FreeSerif"/>
          <w:sz w:val="32"/>
          <w:szCs w:val="32"/>
        </w:rPr>
        <w:t>各级人力资源社会保障部门要推动私营单位、</w:t>
      </w:r>
      <w:r>
        <w:rPr>
          <w:rFonts w:hint="default" w:ascii="FreeSerif" w:hAnsi="FreeSerif" w:eastAsia="仿宋_GB2312" w:cs="FreeSerif"/>
          <w:color w:val="000000"/>
          <w:kern w:val="2"/>
          <w:sz w:val="32"/>
          <w:szCs w:val="32"/>
          <w:shd w:val="clear" w:color="auto" w:fill="FFFFFF"/>
        </w:rPr>
        <w:t>社会团体、基金会、民办非企业单位、劳务派遣单位、有雇工的个体工商户等参加企业职工基本养老保险的用人单位</w:t>
      </w:r>
      <w:r>
        <w:rPr>
          <w:rFonts w:hint="default" w:ascii="FreeSerif" w:hAnsi="FreeSerif" w:eastAsia="仿宋_GB2312" w:cs="FreeSerif"/>
          <w:sz w:val="32"/>
          <w:szCs w:val="32"/>
        </w:rPr>
        <w:t>为职工建立企业年金。允许</w:t>
      </w:r>
      <w:r>
        <w:rPr>
          <w:rFonts w:hint="default" w:ascii="FreeSerif" w:hAnsi="FreeSerif" w:eastAsia="仿宋_GB2312" w:cs="FreeSerif"/>
          <w:color w:val="000000"/>
          <w:kern w:val="2"/>
          <w:sz w:val="32"/>
          <w:szCs w:val="32"/>
          <w:shd w:val="clear" w:color="auto" w:fill="FFFFFF"/>
        </w:rPr>
        <w:t>参加企业职工基本养老保险的用人单位</w:t>
      </w:r>
      <w:r>
        <w:rPr>
          <w:rFonts w:hint="default" w:ascii="FreeSerif" w:hAnsi="FreeSerif" w:eastAsia="仿宋_GB2312" w:cs="FreeSerif"/>
          <w:sz w:val="32"/>
          <w:szCs w:val="32"/>
        </w:rPr>
        <w:t>为优秀员工</w:t>
      </w:r>
      <w:r>
        <w:rPr>
          <w:rFonts w:hint="default" w:ascii="FreeSerif" w:hAnsi="FreeSerif" w:eastAsia="仿宋_GB2312" w:cs="FreeSerif"/>
          <w:sz w:val="32"/>
          <w:szCs w:val="32"/>
          <w:lang w:val="en"/>
        </w:rPr>
        <w:t>、</w:t>
      </w:r>
      <w:r>
        <w:rPr>
          <w:rFonts w:hint="default" w:ascii="FreeSerif" w:hAnsi="FreeSerif" w:eastAsia="仿宋_GB2312" w:cs="FreeSerif"/>
          <w:sz w:val="32"/>
          <w:szCs w:val="32"/>
        </w:rPr>
        <w:t>老员工先行建立企业年金。</w:t>
      </w:r>
    </w:p>
    <w:p>
      <w:pPr>
        <w:pStyle w:val="7"/>
        <w:shd w:val="clear" w:color="auto" w:fill="FFFFFF"/>
        <w:spacing w:before="0" w:beforeAutospacing="0" w:after="0" w:afterAutospacing="0" w:line="600" w:lineRule="exact"/>
        <w:ind w:firstLine="640" w:firstLineChars="200"/>
        <w:jc w:val="both"/>
        <w:rPr>
          <w:rFonts w:hint="default" w:ascii="FreeSerif" w:hAnsi="FreeSerif" w:eastAsia="仿宋_GB2312" w:cs="FreeSerif"/>
          <w:color w:val="000000"/>
          <w:kern w:val="2"/>
          <w:sz w:val="32"/>
          <w:szCs w:val="32"/>
          <w:shd w:val="clear" w:color="auto" w:fill="FFFFFF"/>
        </w:rPr>
      </w:pPr>
      <w:r>
        <w:rPr>
          <w:rFonts w:hint="eastAsia" w:ascii="楷体_GB2312" w:hAnsi="楷体_GB2312" w:eastAsia="楷体_GB2312" w:cs="楷体_GB2312"/>
          <w:color w:val="000000"/>
          <w:kern w:val="2"/>
          <w:sz w:val="32"/>
          <w:szCs w:val="32"/>
          <w:shd w:val="clear" w:color="auto" w:fill="FFFFFF"/>
          <w:lang w:eastAsia="zh-CN"/>
        </w:rPr>
        <w:t>（三）</w:t>
      </w:r>
      <w:r>
        <w:rPr>
          <w:rFonts w:hint="eastAsia" w:ascii="楷体_GB2312" w:hAnsi="楷体_GB2312" w:eastAsia="楷体_GB2312" w:cs="楷体_GB2312"/>
          <w:color w:val="000000"/>
          <w:kern w:val="2"/>
          <w:sz w:val="32"/>
          <w:szCs w:val="32"/>
          <w:shd w:val="clear" w:color="auto" w:fill="FFFFFF"/>
        </w:rPr>
        <w:t>促进各类园区内企业建立企业年金。</w:t>
      </w:r>
      <w:r>
        <w:rPr>
          <w:rFonts w:hint="default" w:ascii="FreeSerif" w:hAnsi="FreeSerif" w:eastAsia="仿宋_GB2312" w:cs="FreeSerif"/>
          <w:color w:val="000000"/>
          <w:kern w:val="2"/>
          <w:sz w:val="32"/>
          <w:szCs w:val="32"/>
          <w:shd w:val="clear" w:color="auto" w:fill="FFFFFF"/>
        </w:rPr>
        <w:t>创业园、孵化园、开发区等各类园区管委会，可采取业务指导、集中</w:t>
      </w:r>
      <w:r>
        <w:rPr>
          <w:rFonts w:hint="eastAsia" w:ascii="FreeSerif" w:hAnsi="FreeSerif" w:eastAsia="仿宋_GB2312" w:cs="FreeSerif"/>
          <w:color w:val="000000"/>
          <w:kern w:val="2"/>
          <w:sz w:val="32"/>
          <w:szCs w:val="32"/>
          <w:shd w:val="clear" w:color="auto" w:fill="FFFFFF"/>
          <w:lang w:eastAsia="zh-CN"/>
        </w:rPr>
        <w:t>推介</w:t>
      </w:r>
      <w:r>
        <w:rPr>
          <w:rFonts w:hint="default" w:ascii="FreeSerif" w:hAnsi="FreeSerif" w:eastAsia="仿宋_GB2312" w:cs="FreeSerif"/>
          <w:color w:val="000000"/>
          <w:kern w:val="2"/>
          <w:sz w:val="32"/>
          <w:szCs w:val="32"/>
          <w:shd w:val="clear" w:color="auto" w:fill="FFFFFF"/>
        </w:rPr>
        <w:t>、入户宣传等方式，牵头为园区内企业建立企业年金。有条件的园区可探索以园区为单位，通过集体协商、自主加入的方式，建立涵盖园区内企业和员工的企业年金。建立以园区为单位的企业年金，具体可参照集团公司企业年金方案执行，由企业自主选择是否加入。</w:t>
      </w:r>
    </w:p>
    <w:p>
      <w:pPr>
        <w:pStyle w:val="7"/>
        <w:shd w:val="clear" w:color="auto" w:fill="FFFFFF"/>
        <w:spacing w:before="0" w:beforeAutospacing="0" w:after="0" w:afterAutospacing="0" w:line="600" w:lineRule="exact"/>
        <w:ind w:firstLine="640" w:firstLineChars="200"/>
        <w:jc w:val="both"/>
        <w:rPr>
          <w:rFonts w:hint="default" w:ascii="FreeSerif" w:hAnsi="FreeSerif" w:eastAsia="仿宋_GB2312" w:cs="FreeSerif"/>
          <w:sz w:val="32"/>
          <w:szCs w:val="32"/>
        </w:rPr>
      </w:pPr>
      <w:r>
        <w:rPr>
          <w:rFonts w:hint="eastAsia" w:ascii="楷体_GB2312" w:hAnsi="楷体_GB2312" w:eastAsia="楷体_GB2312" w:cs="楷体_GB2312"/>
          <w:kern w:val="2"/>
          <w:sz w:val="32"/>
          <w:szCs w:val="32"/>
          <w:shd w:val="clear" w:color="auto" w:fill="FFFFFF"/>
          <w:lang w:eastAsia="zh-CN"/>
        </w:rPr>
        <w:t>（四）</w:t>
      </w:r>
      <w:r>
        <w:rPr>
          <w:rFonts w:hint="eastAsia" w:ascii="楷体_GB2312" w:hAnsi="楷体_GB2312" w:eastAsia="楷体_GB2312" w:cs="楷体_GB2312"/>
          <w:sz w:val="32"/>
          <w:szCs w:val="32"/>
        </w:rPr>
        <w:t>建立人才年金制度。</w:t>
      </w:r>
      <w:r>
        <w:rPr>
          <w:rFonts w:hint="default" w:ascii="FreeSerif" w:hAnsi="FreeSerif" w:eastAsia="仿宋_GB2312" w:cs="FreeSerif"/>
          <w:sz w:val="32"/>
          <w:szCs w:val="32"/>
        </w:rPr>
        <w:t>对暂不具备全员或大部分人员建立企业年金条件的用人单位，可依据《内蒙古自治区人才年金试行办法》</w:t>
      </w:r>
      <w:r>
        <w:rPr>
          <w:rFonts w:hint="default" w:ascii="FreeSerif" w:hAnsi="FreeSerif" w:eastAsia="仿宋_GB2312" w:cs="FreeSerif"/>
          <w:kern w:val="2"/>
          <w:sz w:val="32"/>
          <w:szCs w:val="32"/>
          <w:shd w:val="clear" w:color="auto" w:fill="FFFFFF"/>
        </w:rPr>
        <w:t>（附件1）</w:t>
      </w:r>
      <w:r>
        <w:rPr>
          <w:rFonts w:hint="default" w:ascii="FreeSerif" w:hAnsi="FreeSerif" w:eastAsia="仿宋_GB2312" w:cs="FreeSerif"/>
          <w:sz w:val="32"/>
          <w:szCs w:val="32"/>
        </w:rPr>
        <w:t>，优先为符合单位发展需求的人才建立人才年金。</w:t>
      </w:r>
    </w:p>
    <w:p>
      <w:pPr>
        <w:pStyle w:val="7"/>
        <w:shd w:val="clear" w:color="auto" w:fill="FFFFFF"/>
        <w:spacing w:before="0" w:beforeAutospacing="0" w:after="0" w:afterAutospacing="0" w:line="600" w:lineRule="exact"/>
        <w:ind w:firstLine="640" w:firstLineChars="200"/>
        <w:jc w:val="both"/>
        <w:rPr>
          <w:rFonts w:hint="default" w:ascii="FreeSerif" w:hAnsi="FreeSerif" w:eastAsia="仿宋_GB2312" w:cs="FreeSerif"/>
          <w:sz w:val="32"/>
          <w:szCs w:val="32"/>
        </w:rPr>
      </w:pPr>
      <w:r>
        <w:rPr>
          <w:rFonts w:hint="eastAsia" w:ascii="楷体_GB2312" w:hAnsi="楷体_GB2312" w:eastAsia="楷体_GB2312" w:cs="楷体_GB2312"/>
          <w:color w:val="000000"/>
          <w:kern w:val="2"/>
          <w:sz w:val="32"/>
          <w:szCs w:val="32"/>
          <w:shd w:val="clear" w:color="auto" w:fill="FFFFFF"/>
          <w:lang w:eastAsia="zh-CN"/>
        </w:rPr>
        <w:t>（五）</w:t>
      </w:r>
      <w:r>
        <w:rPr>
          <w:rFonts w:hint="eastAsia" w:ascii="楷体_GB2312" w:hAnsi="楷体_GB2312" w:eastAsia="楷体_GB2312" w:cs="楷体_GB2312"/>
          <w:sz w:val="32"/>
          <w:szCs w:val="32"/>
        </w:rPr>
        <w:t>完善企业年金制度衔接。</w:t>
      </w:r>
      <w:r>
        <w:rPr>
          <w:rFonts w:hint="default" w:ascii="FreeSerif" w:hAnsi="FreeSerif" w:eastAsia="仿宋_GB2312" w:cs="FreeSerif"/>
          <w:sz w:val="32"/>
          <w:szCs w:val="32"/>
        </w:rPr>
        <w:t>新建立</w:t>
      </w:r>
      <w:r>
        <w:rPr>
          <w:rFonts w:hint="eastAsia" w:ascii="FreeSerif" w:hAnsi="FreeSerif" w:eastAsia="仿宋_GB2312" w:cs="FreeSerif"/>
          <w:sz w:val="32"/>
          <w:szCs w:val="32"/>
          <w:lang w:eastAsia="zh-CN"/>
        </w:rPr>
        <w:t>企业</w:t>
      </w:r>
      <w:r>
        <w:rPr>
          <w:rFonts w:hint="default" w:ascii="FreeSerif" w:hAnsi="FreeSerif" w:eastAsia="仿宋_GB2312" w:cs="FreeSerif"/>
          <w:sz w:val="32"/>
          <w:szCs w:val="32"/>
        </w:rPr>
        <w:t>年金的用人单位为职工补建以前年度企业年金，要向</w:t>
      </w:r>
      <w:r>
        <w:rPr>
          <w:rFonts w:hint="default" w:ascii="FreeSerif" w:hAnsi="FreeSerif" w:eastAsia="仿宋_GB2312" w:cs="FreeSerif"/>
          <w:sz w:val="32"/>
          <w:szCs w:val="32"/>
          <w:lang w:val="en"/>
        </w:rPr>
        <w:t>当地负责企业年金方案备案的人力资源社会保障行政部门</w:t>
      </w:r>
      <w:r>
        <w:rPr>
          <w:rFonts w:hint="default" w:ascii="FreeSerif" w:hAnsi="FreeSerif" w:eastAsia="仿宋_GB2312" w:cs="FreeSerif"/>
          <w:sz w:val="32"/>
          <w:szCs w:val="32"/>
        </w:rPr>
        <w:t>报备补建企业年金的情况说明且取得同意后补建，补建起始时间不早于职工基本养老保险个人账户建立时间。</w:t>
      </w:r>
    </w:p>
    <w:p>
      <w:pPr>
        <w:pStyle w:val="7"/>
        <w:shd w:val="clear" w:color="auto" w:fill="FFFFFF"/>
        <w:spacing w:before="0" w:beforeAutospacing="0" w:after="0" w:afterAutospacing="0" w:line="600" w:lineRule="exact"/>
        <w:ind w:firstLine="640" w:firstLineChars="200"/>
        <w:jc w:val="both"/>
        <w:rPr>
          <w:rFonts w:hint="default" w:ascii="FreeSerif" w:hAnsi="FreeSerif" w:eastAsia="黑体" w:cs="FreeSerif"/>
          <w:color w:val="000000"/>
          <w:kern w:val="2"/>
          <w:sz w:val="32"/>
          <w:szCs w:val="32"/>
          <w:shd w:val="clear" w:color="auto" w:fill="FFFFFF"/>
        </w:rPr>
      </w:pPr>
      <w:r>
        <w:rPr>
          <w:rFonts w:hint="default" w:ascii="FreeSerif" w:hAnsi="FreeSerif" w:eastAsia="黑体" w:cs="FreeSerif"/>
          <w:color w:val="000000"/>
          <w:kern w:val="2"/>
          <w:sz w:val="32"/>
          <w:szCs w:val="32"/>
          <w:shd w:val="clear" w:color="auto" w:fill="FFFFFF"/>
        </w:rPr>
        <w:t>二、优化企业年金发展环境</w:t>
      </w:r>
    </w:p>
    <w:p>
      <w:pPr>
        <w:pStyle w:val="7"/>
        <w:shd w:val="clear" w:color="auto" w:fill="FFFFFF"/>
        <w:spacing w:before="0" w:beforeAutospacing="0" w:after="0" w:afterAutospacing="0" w:line="600" w:lineRule="exact"/>
        <w:ind w:firstLine="640" w:firstLineChars="200"/>
        <w:jc w:val="both"/>
        <w:rPr>
          <w:rFonts w:hint="default" w:ascii="FreeSerif" w:hAnsi="FreeSerif" w:eastAsia="仿宋_GB2312" w:cs="FreeSerif"/>
          <w:color w:val="000000"/>
          <w:kern w:val="2"/>
          <w:sz w:val="32"/>
          <w:szCs w:val="32"/>
          <w:shd w:val="clear" w:color="auto" w:fill="FFFFFF"/>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精简企业年金方案备案材料。</w:t>
      </w:r>
      <w:r>
        <w:rPr>
          <w:rFonts w:hint="default" w:ascii="FreeSerif" w:hAnsi="FreeSerif" w:eastAsia="仿宋_GB2312" w:cs="FreeSerif"/>
          <w:sz w:val="32"/>
          <w:szCs w:val="32"/>
        </w:rPr>
        <w:t>各级人力资源社会保障部门要进一步优化建立企业年金民主程序、简化企业年金方案和报送材料，对于</w:t>
      </w:r>
      <w:r>
        <w:rPr>
          <w:rFonts w:hint="default" w:ascii="FreeSerif" w:hAnsi="FreeSerif" w:eastAsia="仿宋_GB2312" w:cs="FreeSerif"/>
          <w:color w:val="000000"/>
          <w:kern w:val="2"/>
          <w:sz w:val="32"/>
          <w:szCs w:val="32"/>
          <w:shd w:val="clear" w:color="auto" w:fill="FFFFFF"/>
        </w:rPr>
        <w:t>《企业年金办法》（人力资源社会保障部令第36号）、《人力资源社会保障部办公厅关于进一步做好企业年金方案备案工作的意见》（人社厅发〔2014〕60号）规定的企业年金方案备案所需基本材料要求，应严格按照有关要求执行，除此以外所需的其他材料及证明，</w:t>
      </w:r>
      <w:r>
        <w:rPr>
          <w:rFonts w:hint="default" w:ascii="FreeSerif" w:hAnsi="FreeSerif" w:eastAsia="仿宋_GB2312" w:cs="FreeSerif"/>
          <w:sz w:val="32"/>
          <w:szCs w:val="32"/>
        </w:rPr>
        <w:t>各级人力资源社会保障部门可根据实际情况自主确定实行</w:t>
      </w:r>
      <w:r>
        <w:rPr>
          <w:rFonts w:hint="default" w:ascii="FreeSerif" w:hAnsi="FreeSerif" w:eastAsia="仿宋_GB2312" w:cs="FreeSerif"/>
          <w:color w:val="000000"/>
          <w:kern w:val="2"/>
          <w:sz w:val="32"/>
          <w:szCs w:val="32"/>
          <w:shd w:val="clear" w:color="auto" w:fill="FFFFFF"/>
        </w:rPr>
        <w:t>备案承诺制的范围。在集合计划企业年金方案备案工作中，大力推行简易程序范本（附件2），对于按该范本申报的，实行一窗受理、限时办结。在办理企业年金方案备案时，不再要求备案单位提供基本养老保险参保缴费证明，由备案地人力资源社会保障部门向对应的社会保险经办机构发送内部协助核查函（附件3）查询，经办机构应在收到协查函的2个工作日内给予复函并提供备案单位基本养老保险参保缴费证明（附件4）。</w:t>
      </w:r>
    </w:p>
    <w:p>
      <w:pPr>
        <w:pStyle w:val="7"/>
        <w:shd w:val="clear" w:color="auto" w:fill="FFFFFF"/>
        <w:spacing w:before="0" w:beforeAutospacing="0" w:after="0" w:afterAutospacing="0" w:line="600" w:lineRule="exact"/>
        <w:jc w:val="both"/>
        <w:rPr>
          <w:rFonts w:hint="default" w:ascii="FreeSerif" w:hAnsi="FreeSerif" w:eastAsia="仿宋_GB2312" w:cs="FreeSerif"/>
          <w:color w:val="FF0000"/>
          <w:sz w:val="32"/>
          <w:szCs w:val="32"/>
        </w:rPr>
      </w:pPr>
      <w:r>
        <w:rPr>
          <w:rFonts w:hint="default" w:ascii="FreeSerif" w:hAnsi="FreeSerif" w:eastAsia="仿宋_GB2312" w:cs="FreeSerif"/>
          <w:color w:val="000000"/>
          <w:kern w:val="2"/>
          <w:sz w:val="32"/>
          <w:szCs w:val="32"/>
          <w:shd w:val="clear" w:color="auto" w:fill="FFFFFF"/>
        </w:rPr>
        <w:t>　　</w:t>
      </w:r>
      <w:r>
        <w:rPr>
          <w:rFonts w:hint="eastAsia" w:ascii="楷体_GB2312" w:hAnsi="楷体_GB2312" w:eastAsia="楷体_GB2312" w:cs="楷体_GB2312"/>
          <w:color w:val="000000"/>
          <w:kern w:val="2"/>
          <w:sz w:val="32"/>
          <w:szCs w:val="32"/>
          <w:shd w:val="clear" w:color="auto" w:fill="FFFFFF"/>
          <w:lang w:eastAsia="zh-CN"/>
        </w:rPr>
        <w:t>（二）</w:t>
      </w:r>
      <w:r>
        <w:rPr>
          <w:rFonts w:hint="eastAsia" w:ascii="楷体_GB2312" w:hAnsi="楷体_GB2312" w:eastAsia="楷体_GB2312" w:cs="楷体_GB2312"/>
          <w:sz w:val="32"/>
          <w:szCs w:val="32"/>
        </w:rPr>
        <w:t>加快企业年金数字化建设。</w:t>
      </w:r>
      <w:r>
        <w:rPr>
          <w:rFonts w:hint="default" w:ascii="FreeSerif" w:hAnsi="FreeSerif" w:eastAsia="仿宋_GB2312" w:cs="FreeSerif"/>
          <w:sz w:val="32"/>
          <w:szCs w:val="32"/>
        </w:rPr>
        <w:t>自治区人力资源和社会保障厅牵头建立企业年金信息系统和数据库，打破企业年金数据壁垒、连通“信息孤岛”。由企业年金服务机构将已参加企业年金单位相关数据录入全区统一的信息系统并实时更新，自治区社会保险事业服务中心做好与参加企业职工基本养老保险单位的相关数据比对，并将未建立企业年金的单位</w:t>
      </w:r>
      <w:r>
        <w:rPr>
          <w:rFonts w:hint="eastAsia" w:ascii="FreeSerif" w:hAnsi="FreeSerif" w:eastAsia="仿宋_GB2312" w:cs="FreeSerif"/>
          <w:sz w:val="32"/>
          <w:szCs w:val="32"/>
          <w:lang w:eastAsia="zh-CN"/>
        </w:rPr>
        <w:t>名册</w:t>
      </w:r>
      <w:r>
        <w:rPr>
          <w:rFonts w:hint="default" w:ascii="FreeSerif" w:hAnsi="FreeSerif" w:eastAsia="仿宋_GB2312" w:cs="FreeSerif"/>
          <w:sz w:val="32"/>
          <w:szCs w:val="32"/>
        </w:rPr>
        <w:t>定期</w:t>
      </w:r>
      <w:r>
        <w:rPr>
          <w:rFonts w:hint="eastAsia" w:ascii="FreeSerif" w:hAnsi="FreeSerif" w:eastAsia="仿宋_GB2312" w:cs="FreeSerif"/>
          <w:sz w:val="32"/>
          <w:szCs w:val="32"/>
          <w:lang w:eastAsia="zh-CN"/>
        </w:rPr>
        <w:t>推送</w:t>
      </w:r>
      <w:r>
        <w:rPr>
          <w:rFonts w:hint="default" w:ascii="FreeSerif" w:hAnsi="FreeSerif" w:eastAsia="仿宋_GB2312" w:cs="FreeSerif"/>
          <w:sz w:val="32"/>
          <w:szCs w:val="32"/>
        </w:rPr>
        <w:t>各企业年金基金法人受托机构和各</w:t>
      </w:r>
      <w:r>
        <w:rPr>
          <w:rFonts w:hint="eastAsia" w:ascii="FreeSerif" w:hAnsi="FreeSerif" w:eastAsia="仿宋_GB2312" w:cs="FreeSerif"/>
          <w:sz w:val="32"/>
          <w:szCs w:val="32"/>
          <w:lang w:eastAsia="zh-CN"/>
        </w:rPr>
        <w:t>盟市</w:t>
      </w:r>
      <w:r>
        <w:rPr>
          <w:rFonts w:hint="default" w:ascii="FreeSerif" w:hAnsi="FreeSerif" w:eastAsia="仿宋_GB2312" w:cs="FreeSerif"/>
          <w:sz w:val="32"/>
          <w:szCs w:val="32"/>
        </w:rPr>
        <w:t>人力资源社会保障</w:t>
      </w:r>
      <w:r>
        <w:rPr>
          <w:rFonts w:hint="eastAsia" w:ascii="FreeSerif" w:hAnsi="FreeSerif" w:eastAsia="仿宋_GB2312" w:cs="FreeSerif"/>
          <w:sz w:val="32"/>
          <w:szCs w:val="32"/>
          <w:lang w:eastAsia="zh-CN"/>
        </w:rPr>
        <w:t>部门</w:t>
      </w:r>
      <w:r>
        <w:rPr>
          <w:rFonts w:hint="default" w:ascii="FreeSerif" w:hAnsi="FreeSerif" w:eastAsia="仿宋_GB2312" w:cs="FreeSerif"/>
          <w:sz w:val="32"/>
          <w:szCs w:val="32"/>
        </w:rPr>
        <w:t>，为企业年金服务机构扩大制度覆盖范围提供数据支撑。</w:t>
      </w:r>
    </w:p>
    <w:p>
      <w:pPr>
        <w:pStyle w:val="7"/>
        <w:shd w:val="clear" w:color="auto" w:fill="FFFFFF"/>
        <w:spacing w:before="0" w:beforeAutospacing="0" w:after="0" w:afterAutospacing="0" w:line="600" w:lineRule="exact"/>
        <w:ind w:firstLine="640" w:firstLineChars="200"/>
        <w:jc w:val="both"/>
        <w:rPr>
          <w:rFonts w:hint="default" w:ascii="FreeSerif" w:hAnsi="FreeSerif" w:eastAsia="黑体" w:cs="FreeSerif"/>
          <w:color w:val="000000"/>
          <w:kern w:val="2"/>
          <w:sz w:val="32"/>
          <w:szCs w:val="32"/>
          <w:shd w:val="clear" w:color="auto" w:fill="FFFFFF"/>
        </w:rPr>
      </w:pPr>
      <w:r>
        <w:rPr>
          <w:rFonts w:hint="default" w:ascii="FreeSerif" w:hAnsi="FreeSerif" w:eastAsia="黑体" w:cs="FreeSerif"/>
          <w:color w:val="000000"/>
          <w:kern w:val="2"/>
          <w:sz w:val="32"/>
          <w:szCs w:val="32"/>
          <w:shd w:val="clear" w:color="auto" w:fill="FFFFFF"/>
        </w:rPr>
        <w:t>三、强化企业年金宣传力度</w:t>
      </w:r>
    </w:p>
    <w:p>
      <w:pPr>
        <w:spacing w:line="600" w:lineRule="exact"/>
        <w:ind w:firstLine="640" w:firstLineChars="200"/>
        <w:rPr>
          <w:rFonts w:hint="default" w:ascii="FreeSerif" w:hAnsi="FreeSerif" w:eastAsia="仿宋_GB2312" w:cs="FreeSerif"/>
          <w:color w:val="000000"/>
          <w:sz w:val="32"/>
          <w:szCs w:val="32"/>
          <w:shd w:val="clear" w:color="auto" w:fill="FFFFFF"/>
        </w:rPr>
      </w:pPr>
      <w:r>
        <w:rPr>
          <w:rFonts w:hint="default" w:ascii="FreeSerif" w:hAnsi="FreeSerif" w:eastAsia="仿宋_GB2312" w:cs="FreeSerif"/>
          <w:color w:val="000000"/>
          <w:sz w:val="32"/>
          <w:szCs w:val="32"/>
          <w:shd w:val="clear" w:color="auto" w:fill="FFFFFF"/>
        </w:rPr>
        <w:t>各级</w:t>
      </w:r>
      <w:r>
        <w:rPr>
          <w:rFonts w:hint="default" w:ascii="FreeSerif" w:hAnsi="FreeSerif" w:eastAsia="仿宋_GB2312" w:cs="FreeSerif"/>
          <w:sz w:val="32"/>
          <w:szCs w:val="32"/>
        </w:rPr>
        <w:t>人力资源社会保障部门</w:t>
      </w:r>
      <w:r>
        <w:rPr>
          <w:rFonts w:hint="default" w:ascii="FreeSerif" w:hAnsi="FreeSerif" w:eastAsia="仿宋_GB2312" w:cs="FreeSerif"/>
          <w:color w:val="000000"/>
          <w:sz w:val="32"/>
          <w:szCs w:val="32"/>
          <w:shd w:val="clear" w:color="auto" w:fill="FFFFFF"/>
        </w:rPr>
        <w:t>要认真组织开展年金政策宣传活动，通过宣传画、公示牌、宣传栏、广播电视、报刊、互联网、微信平台等多渠道、多形式开展宣传工作，让更多的企业和职工对年金有更深的理解和认识</w:t>
      </w:r>
      <w:r>
        <w:rPr>
          <w:rFonts w:hint="eastAsia" w:ascii="FreeSerif" w:hAnsi="FreeSerif" w:eastAsia="仿宋_GB2312" w:cs="FreeSerif"/>
          <w:color w:val="000000"/>
          <w:sz w:val="32"/>
          <w:szCs w:val="32"/>
          <w:shd w:val="clear" w:color="auto" w:fill="FFFFFF"/>
          <w:lang w:eastAsia="zh-CN"/>
        </w:rPr>
        <w:t>。</w:t>
      </w:r>
      <w:r>
        <w:rPr>
          <w:rFonts w:hint="default" w:ascii="FreeSerif" w:hAnsi="FreeSerif" w:eastAsia="仿宋_GB2312" w:cs="FreeSerif"/>
          <w:color w:val="000000"/>
          <w:sz w:val="32"/>
          <w:szCs w:val="32"/>
          <w:shd w:val="clear" w:color="auto" w:fill="FFFFFF"/>
        </w:rPr>
        <w:t>对规模相对较大的企业要主动对接并进行一对一的政策宣传，充分了解企业意愿，引导和鼓励企业在有条件的情况下，建立企业年金。要组织企业召开年金推介会议，介绍企业年金的主要政策规定、企业年金方案备案流程、相关税收政策，邀请已建立企业年金的企业介绍经验，不断扩大企业年金覆盖面。</w:t>
      </w:r>
    </w:p>
    <w:p>
      <w:pPr>
        <w:pStyle w:val="7"/>
        <w:shd w:val="clear" w:color="auto" w:fill="FFFFFF"/>
        <w:spacing w:before="0" w:beforeAutospacing="0" w:after="0" w:afterAutospacing="0" w:line="600" w:lineRule="exact"/>
        <w:ind w:firstLine="640" w:firstLineChars="200"/>
        <w:jc w:val="both"/>
        <w:rPr>
          <w:rFonts w:hint="default" w:ascii="FreeSerif" w:hAnsi="FreeSerif" w:eastAsia="仿宋_GB2312" w:cs="FreeSerif"/>
          <w:color w:val="000000"/>
          <w:kern w:val="2"/>
          <w:sz w:val="32"/>
          <w:szCs w:val="32"/>
          <w:shd w:val="clear" w:color="auto" w:fill="FFFFFF"/>
        </w:rPr>
      </w:pPr>
      <w:r>
        <w:rPr>
          <w:rFonts w:hint="default" w:ascii="FreeSerif" w:hAnsi="FreeSerif" w:eastAsia="仿宋_GB2312" w:cs="FreeSerif"/>
          <w:color w:val="000000"/>
          <w:kern w:val="2"/>
          <w:sz w:val="32"/>
          <w:szCs w:val="32"/>
          <w:shd w:val="clear" w:color="auto" w:fill="FFFFFF"/>
        </w:rPr>
        <w:t>本意见自印发之日起施行。今后国家出台新的规定，从其规定。</w:t>
      </w:r>
    </w:p>
    <w:p>
      <w:pPr>
        <w:pStyle w:val="7"/>
        <w:shd w:val="clear" w:color="auto" w:fill="FFFFFF"/>
        <w:spacing w:before="0" w:beforeAutospacing="0" w:after="0" w:afterAutospacing="0" w:line="600" w:lineRule="exact"/>
        <w:ind w:firstLine="640" w:firstLineChars="200"/>
        <w:jc w:val="both"/>
        <w:rPr>
          <w:rFonts w:hint="default" w:ascii="FreeSerif" w:hAnsi="FreeSerif" w:eastAsia="仿宋_GB2312" w:cs="FreeSerif"/>
          <w:color w:val="000000"/>
          <w:kern w:val="2"/>
          <w:sz w:val="32"/>
          <w:szCs w:val="32"/>
          <w:shd w:val="clear" w:color="auto" w:fill="FFFFFF"/>
        </w:rPr>
      </w:pPr>
    </w:p>
    <w:p>
      <w:pPr>
        <w:pStyle w:val="7"/>
        <w:shd w:val="clear" w:color="auto" w:fill="FFFFFF"/>
        <w:spacing w:before="0" w:beforeAutospacing="0" w:after="0" w:afterAutospacing="0" w:line="600" w:lineRule="exact"/>
        <w:ind w:firstLine="640" w:firstLineChars="200"/>
        <w:jc w:val="both"/>
        <w:rPr>
          <w:rFonts w:hint="default" w:ascii="FreeSerif" w:hAnsi="FreeSerif" w:eastAsia="仿宋_GB2312" w:cs="FreeSerif"/>
          <w:color w:val="000000"/>
          <w:kern w:val="2"/>
          <w:sz w:val="32"/>
          <w:szCs w:val="32"/>
          <w:shd w:val="clear" w:color="auto" w:fill="FFFFFF"/>
        </w:rPr>
      </w:pPr>
      <w:r>
        <w:rPr>
          <w:rFonts w:hint="default" w:ascii="FreeSerif" w:hAnsi="FreeSerif" w:eastAsia="仿宋_GB2312" w:cs="FreeSerif"/>
          <w:color w:val="000000"/>
          <w:kern w:val="2"/>
          <w:sz w:val="32"/>
          <w:szCs w:val="32"/>
          <w:shd w:val="clear" w:color="auto" w:fill="FFFFFF"/>
        </w:rPr>
        <w:t>附件：1.内蒙古自治区人才年金试行办法</w:t>
      </w:r>
    </w:p>
    <w:p>
      <w:pPr>
        <w:pStyle w:val="7"/>
        <w:shd w:val="clear" w:color="auto" w:fill="FFFFFF"/>
        <w:spacing w:before="0" w:beforeAutospacing="0" w:after="0" w:afterAutospacing="0" w:line="600" w:lineRule="exact"/>
        <w:ind w:firstLine="1600" w:firstLineChars="500"/>
        <w:jc w:val="both"/>
        <w:rPr>
          <w:rFonts w:hint="default" w:ascii="FreeSerif" w:hAnsi="FreeSerif" w:eastAsia="仿宋_GB2312" w:cs="FreeSerif"/>
          <w:color w:val="000000"/>
          <w:kern w:val="2"/>
          <w:sz w:val="32"/>
          <w:szCs w:val="32"/>
          <w:shd w:val="clear" w:color="auto" w:fill="FFFFFF"/>
        </w:rPr>
      </w:pPr>
      <w:r>
        <w:rPr>
          <w:rFonts w:hint="default" w:ascii="FreeSerif" w:hAnsi="FreeSerif" w:eastAsia="仿宋_GB2312" w:cs="FreeSerif"/>
          <w:color w:val="000000"/>
          <w:kern w:val="2"/>
          <w:sz w:val="32"/>
          <w:szCs w:val="32"/>
          <w:shd w:val="clear" w:color="auto" w:fill="FFFFFF"/>
        </w:rPr>
        <w:t>2.企业年金方案（实施细则）简易程序范本</w:t>
      </w:r>
    </w:p>
    <w:p>
      <w:pPr>
        <w:pStyle w:val="7"/>
        <w:shd w:val="clear" w:color="auto" w:fill="FFFFFF"/>
        <w:spacing w:before="0" w:beforeAutospacing="0" w:after="0" w:afterAutospacing="0" w:line="600" w:lineRule="exact"/>
        <w:ind w:left="1916" w:leftChars="760" w:hanging="320" w:hangingChars="100"/>
        <w:jc w:val="both"/>
        <w:rPr>
          <w:rFonts w:hint="default" w:ascii="FreeSerif" w:hAnsi="FreeSerif" w:eastAsia="仿宋_GB2312" w:cs="FreeSerif"/>
          <w:color w:val="000000"/>
          <w:kern w:val="2"/>
          <w:sz w:val="32"/>
          <w:szCs w:val="32"/>
          <w:shd w:val="clear" w:color="auto" w:fill="FFFFFF"/>
        </w:rPr>
      </w:pPr>
      <w:r>
        <w:rPr>
          <w:rFonts w:hint="default" w:ascii="FreeSerif" w:hAnsi="FreeSerif" w:eastAsia="仿宋_GB2312" w:cs="FreeSerif"/>
          <w:color w:val="000000"/>
          <w:kern w:val="2"/>
          <w:sz w:val="32"/>
          <w:szCs w:val="32"/>
          <w:shd w:val="clear" w:color="auto" w:fill="FFFFFF"/>
        </w:rPr>
        <w:t>3.</w:t>
      </w:r>
      <w:r>
        <w:rPr>
          <w:rFonts w:hint="default" w:ascii="FreeSerif" w:hAnsi="FreeSerif" w:eastAsia="仿宋_GB2312" w:cs="FreeSerif"/>
          <w:color w:val="000000"/>
          <w:spacing w:val="-17"/>
          <w:kern w:val="2"/>
          <w:sz w:val="32"/>
          <w:szCs w:val="32"/>
          <w:shd w:val="clear" w:color="auto" w:fill="FFFFFF"/>
        </w:rPr>
        <w:t>关于协助核查××单位基本养老保险参保缴费情况的函</w:t>
      </w:r>
    </w:p>
    <w:p>
      <w:pPr>
        <w:pStyle w:val="7"/>
        <w:shd w:val="clear" w:color="auto" w:fill="FFFFFF"/>
        <w:spacing w:before="0" w:beforeAutospacing="0" w:after="0" w:afterAutospacing="0" w:line="600" w:lineRule="exact"/>
        <w:ind w:left="1916" w:leftChars="760" w:hanging="320" w:hangingChars="100"/>
        <w:jc w:val="both"/>
        <w:rPr>
          <w:rFonts w:hint="eastAsia" w:ascii="FreeSerif" w:hAnsi="FreeSerif" w:eastAsia="仿宋_GB2312" w:cs="FreeSerif"/>
          <w:color w:val="000000"/>
          <w:kern w:val="2"/>
          <w:sz w:val="32"/>
          <w:szCs w:val="32"/>
          <w:shd w:val="clear" w:color="auto" w:fill="FFFFFF"/>
          <w:lang w:eastAsia="zh-CN"/>
        </w:rPr>
      </w:pPr>
      <w:r>
        <w:rPr>
          <w:rFonts w:hint="default" w:ascii="FreeSerif" w:hAnsi="FreeSerif" w:eastAsia="仿宋_GB2312" w:cs="FreeSerif"/>
          <w:color w:val="000000"/>
          <w:kern w:val="2"/>
          <w:sz w:val="32"/>
          <w:szCs w:val="32"/>
          <w:shd w:val="clear" w:color="auto" w:fill="FFFFFF"/>
        </w:rPr>
        <w:t>4.基本养老保险参保缴费证明</w:t>
      </w:r>
      <w:r>
        <w:rPr>
          <w:rFonts w:hint="eastAsia" w:ascii="FreeSerif" w:hAnsi="FreeSerif" w:eastAsia="仿宋_GB2312" w:cs="FreeSerif"/>
          <w:color w:val="000000"/>
          <w:kern w:val="2"/>
          <w:sz w:val="32"/>
          <w:szCs w:val="32"/>
          <w:shd w:val="clear" w:color="auto" w:fill="FFFFFF"/>
          <w:lang w:eastAsia="zh-CN"/>
        </w:rPr>
        <w:t>（样式）</w:t>
      </w:r>
    </w:p>
    <w:p>
      <w:pPr>
        <w:pStyle w:val="7"/>
        <w:shd w:val="clear" w:color="auto" w:fill="FFFFFF"/>
        <w:spacing w:before="0" w:beforeAutospacing="0" w:after="0" w:afterAutospacing="0" w:line="600" w:lineRule="exact"/>
        <w:ind w:firstLine="2240" w:firstLineChars="700"/>
        <w:jc w:val="right"/>
        <w:rPr>
          <w:rFonts w:hint="default" w:ascii="FreeSerif" w:hAnsi="FreeSerif" w:eastAsia="仿宋_GB2312" w:cs="FreeSerif"/>
          <w:color w:val="000000"/>
          <w:kern w:val="2"/>
          <w:sz w:val="32"/>
          <w:szCs w:val="32"/>
          <w:shd w:val="clear" w:color="auto" w:fill="FFFFFF"/>
        </w:rPr>
      </w:pPr>
    </w:p>
    <w:p>
      <w:pPr>
        <w:pStyle w:val="7"/>
        <w:shd w:val="clear" w:color="auto" w:fill="FFFFFF"/>
        <w:wordWrap/>
        <w:spacing w:before="0" w:beforeAutospacing="0" w:after="0" w:afterAutospacing="0" w:line="600" w:lineRule="exact"/>
        <w:ind w:left="1680" w:right="23" w:rightChars="11" w:hanging="1644" w:hangingChars="600"/>
        <w:jc w:val="center"/>
        <w:rPr>
          <w:rFonts w:hint="default" w:ascii="FreeSerif" w:hAnsi="FreeSerif" w:eastAsia="仿宋_GB2312" w:cs="FreeSerif"/>
          <w:color w:val="000000"/>
          <w:spacing w:val="-23"/>
          <w:kern w:val="2"/>
          <w:sz w:val="32"/>
          <w:szCs w:val="32"/>
          <w:shd w:val="clear" w:color="auto" w:fill="FFFFFF"/>
          <w:lang w:val="en-US" w:eastAsia="zh-CN"/>
        </w:rPr>
      </w:pPr>
      <w:r>
        <w:rPr>
          <w:rFonts w:hint="default" w:ascii="FreeSerif" w:hAnsi="FreeSerif" w:eastAsia="仿宋_GB2312" w:cs="FreeSerif"/>
          <w:color w:val="000000"/>
          <w:spacing w:val="-23"/>
          <w:kern w:val="2"/>
          <w:sz w:val="32"/>
          <w:szCs w:val="32"/>
          <w:shd w:val="clear" w:color="auto" w:fill="FFFFFF"/>
        </w:rPr>
        <w:t>内蒙古自治区人力资源和社会保障厅</w:t>
      </w:r>
      <w:r>
        <w:rPr>
          <w:rFonts w:hint="default" w:ascii="FreeSerif" w:hAnsi="FreeSerif" w:eastAsia="仿宋_GB2312" w:cs="FreeSerif"/>
          <w:color w:val="000000"/>
          <w:spacing w:val="-23"/>
          <w:kern w:val="2"/>
          <w:sz w:val="32"/>
          <w:szCs w:val="32"/>
          <w:shd w:val="clear" w:color="auto" w:fill="FFFFFF"/>
          <w:lang w:val="en-US" w:eastAsia="zh-CN"/>
        </w:rPr>
        <w:t xml:space="preserve">  国家税务总局内蒙古自治区税务局</w:t>
      </w:r>
    </w:p>
    <w:p>
      <w:pPr>
        <w:pStyle w:val="7"/>
        <w:shd w:val="clear" w:color="auto" w:fill="FFFFFF"/>
        <w:spacing w:before="0" w:beforeAutospacing="0" w:after="0" w:afterAutospacing="0" w:line="600" w:lineRule="exact"/>
        <w:ind w:left="1680" w:right="23" w:rightChars="11" w:hanging="1920" w:hangingChars="600"/>
        <w:jc w:val="both"/>
        <w:rPr>
          <w:rFonts w:hint="default" w:ascii="FreeSerif" w:hAnsi="FreeSerif" w:eastAsia="仿宋_GB2312" w:cs="FreeSerif"/>
          <w:color w:val="000000"/>
          <w:kern w:val="2"/>
          <w:sz w:val="32"/>
          <w:szCs w:val="32"/>
          <w:shd w:val="clear" w:color="auto" w:fill="FFFFFF"/>
          <w:lang w:val="en-US" w:eastAsia="zh-CN"/>
        </w:rPr>
      </w:pPr>
    </w:p>
    <w:p>
      <w:pPr>
        <w:pStyle w:val="7"/>
        <w:shd w:val="clear" w:color="auto" w:fill="FFFFFF"/>
        <w:wordWrap w:val="0"/>
        <w:spacing w:before="0" w:beforeAutospacing="0" w:after="0" w:afterAutospacing="0" w:line="600" w:lineRule="exact"/>
        <w:ind w:left="1680" w:right="23" w:rightChars="11" w:hanging="1644" w:hangingChars="600"/>
        <w:jc w:val="right"/>
        <w:rPr>
          <w:rFonts w:hint="default" w:ascii="FreeSerif" w:hAnsi="FreeSerif" w:eastAsia="仿宋_GB2312" w:cs="FreeSerif"/>
          <w:color w:val="000000"/>
          <w:spacing w:val="-23"/>
          <w:kern w:val="2"/>
          <w:sz w:val="32"/>
          <w:szCs w:val="32"/>
          <w:shd w:val="clear" w:color="auto" w:fill="FFFFFF"/>
          <w:lang w:val="en-US" w:eastAsia="zh-CN"/>
        </w:rPr>
      </w:pPr>
      <w:r>
        <w:rPr>
          <w:rFonts w:hint="default" w:ascii="FreeSerif" w:hAnsi="FreeSerif" w:eastAsia="仿宋_GB2312" w:cs="FreeSerif"/>
          <w:color w:val="000000"/>
          <w:spacing w:val="-23"/>
          <w:kern w:val="2"/>
          <w:sz w:val="32"/>
          <w:szCs w:val="32"/>
          <w:shd w:val="clear" w:color="auto" w:fill="FFFFFF"/>
          <w:lang w:val="en-US" w:eastAsia="zh-CN"/>
        </w:rPr>
        <w:t>内蒙古自治区人民政府国有资产监督管理委员会</w:t>
      </w:r>
    </w:p>
    <w:p>
      <w:pPr>
        <w:pStyle w:val="7"/>
        <w:shd w:val="clear" w:color="auto" w:fill="FFFFFF"/>
        <w:spacing w:before="0" w:beforeAutospacing="0" w:after="0" w:afterAutospacing="0" w:line="600" w:lineRule="exact"/>
        <w:rPr>
          <w:rFonts w:hint="default" w:ascii="FreeSerif" w:hAnsi="FreeSerif" w:eastAsia="仿宋" w:cs="FreeSerif"/>
          <w:sz w:val="32"/>
          <w:szCs w:val="32"/>
        </w:rPr>
      </w:pPr>
      <w:r>
        <w:rPr>
          <w:rFonts w:hint="default" w:ascii="FreeSerif" w:hAnsi="FreeSerif" w:eastAsia="仿宋_GB2312" w:cs="FreeSerif"/>
          <w:color w:val="000000"/>
          <w:kern w:val="2"/>
          <w:sz w:val="32"/>
          <w:szCs w:val="32"/>
          <w:shd w:val="clear" w:color="auto" w:fill="FFFFFF"/>
        </w:rPr>
        <w:t xml:space="preserve">                           </w:t>
      </w:r>
      <w:r>
        <w:rPr>
          <w:rFonts w:hint="default" w:ascii="FreeSerif" w:hAnsi="FreeSerif" w:eastAsia="仿宋_GB2312" w:cs="FreeSerif"/>
          <w:color w:val="000000"/>
          <w:kern w:val="2"/>
          <w:sz w:val="32"/>
          <w:szCs w:val="32"/>
          <w:shd w:val="clear" w:color="auto" w:fill="FFFFFF"/>
          <w:lang w:val="en-US" w:eastAsia="zh-CN"/>
        </w:rPr>
        <w:t xml:space="preserve">   </w:t>
      </w:r>
      <w:r>
        <w:rPr>
          <w:rFonts w:hint="default" w:ascii="FreeSerif" w:hAnsi="FreeSerif" w:eastAsia="仿宋_GB2312" w:cs="FreeSerif"/>
          <w:color w:val="000000"/>
          <w:kern w:val="2"/>
          <w:sz w:val="32"/>
          <w:szCs w:val="32"/>
          <w:shd w:val="clear" w:color="auto" w:fill="FFFFFF"/>
        </w:rPr>
        <w:t>2024年</w:t>
      </w:r>
      <w:r>
        <w:rPr>
          <w:rFonts w:hint="eastAsia" w:ascii="FreeSerif" w:hAnsi="FreeSerif" w:eastAsia="仿宋_GB2312" w:cs="FreeSerif"/>
          <w:color w:val="000000"/>
          <w:kern w:val="2"/>
          <w:sz w:val="32"/>
          <w:szCs w:val="32"/>
          <w:shd w:val="clear" w:color="auto" w:fill="FFFFFF"/>
          <w:lang w:val="en-US" w:eastAsia="zh-CN"/>
        </w:rPr>
        <w:t>11</w:t>
      </w:r>
      <w:r>
        <w:rPr>
          <w:rFonts w:hint="default" w:ascii="FreeSerif" w:hAnsi="FreeSerif" w:eastAsia="仿宋_GB2312" w:cs="FreeSerif"/>
          <w:color w:val="000000"/>
          <w:kern w:val="2"/>
          <w:sz w:val="32"/>
          <w:szCs w:val="32"/>
          <w:shd w:val="clear" w:color="auto" w:fill="FFFFFF"/>
        </w:rPr>
        <w:t>月</w:t>
      </w:r>
      <w:r>
        <w:rPr>
          <w:rFonts w:hint="eastAsia" w:ascii="FreeSerif" w:hAnsi="FreeSerif" w:eastAsia="仿宋_GB2312" w:cs="FreeSerif"/>
          <w:color w:val="000000"/>
          <w:kern w:val="2"/>
          <w:sz w:val="32"/>
          <w:szCs w:val="32"/>
          <w:shd w:val="clear" w:color="auto" w:fill="FFFFFF"/>
          <w:lang w:val="en-US" w:eastAsia="zh-CN"/>
        </w:rPr>
        <w:t>29</w:t>
      </w:r>
      <w:r>
        <w:rPr>
          <w:rFonts w:hint="default" w:ascii="FreeSerif" w:hAnsi="FreeSerif" w:eastAsia="仿宋_GB2312" w:cs="FreeSerif"/>
          <w:color w:val="000000"/>
          <w:kern w:val="2"/>
          <w:sz w:val="32"/>
          <w:szCs w:val="32"/>
          <w:shd w:val="clear" w:color="auto" w:fill="FFFFFF"/>
        </w:rPr>
        <w:t>日</w:t>
      </w:r>
      <w:bookmarkStart w:id="0" w:name="_GoBack"/>
      <w:bookmarkEnd w:id="0"/>
    </w:p>
    <w:sectPr>
      <w:footerReference r:id="rId4" w:type="first"/>
      <w:footerReference r:id="rId3" w:type="default"/>
      <w:pgSz w:w="11906" w:h="16838"/>
      <w:pgMar w:top="2098" w:right="1474" w:bottom="1984" w:left="158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FreeSerif">
    <w:panose1 w:val="02020603050405020304"/>
    <w:charset w:val="00"/>
    <w:family w:val="auto"/>
    <w:pitch w:val="default"/>
    <w:sig w:usb0="E59FAFFF" w:usb1="C200FDFF" w:usb2="43501B29" w:usb3="04000043" w:csb0="600101FF" w:csb1="FFFF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false">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5xU4GtgEAAFUDAAAOAAAAAAAAAAEAIAAAADQBAABkcnMvZTJv&#10;RG9jLnhtbFBLBQYAAAAABgAGAFkBAABcBQAAAAA=&#10;">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CduQvYtgEAAFUDAAAOAAAAAAAAAAEAIAAAADQBAABkcnMvZTJv&#10;RG9jLnhtbFBLBQYAAAAABgAGAFkBAABc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8.1.176:80/seeyon/officeservlet"/>
  </w:docVars>
  <w:rsids>
    <w:rsidRoot w:val="00AE584F"/>
    <w:rsid w:val="00062D74"/>
    <w:rsid w:val="00186D05"/>
    <w:rsid w:val="00192500"/>
    <w:rsid w:val="0037116F"/>
    <w:rsid w:val="004F44C9"/>
    <w:rsid w:val="00526F49"/>
    <w:rsid w:val="00544210"/>
    <w:rsid w:val="00575551"/>
    <w:rsid w:val="005B2C59"/>
    <w:rsid w:val="00636AF8"/>
    <w:rsid w:val="00654E5A"/>
    <w:rsid w:val="0069494E"/>
    <w:rsid w:val="006B49D0"/>
    <w:rsid w:val="00720AAB"/>
    <w:rsid w:val="007A45F2"/>
    <w:rsid w:val="00842555"/>
    <w:rsid w:val="008C2738"/>
    <w:rsid w:val="008D787F"/>
    <w:rsid w:val="009C75A1"/>
    <w:rsid w:val="00AB780A"/>
    <w:rsid w:val="00AE584F"/>
    <w:rsid w:val="00B55392"/>
    <w:rsid w:val="00BB436F"/>
    <w:rsid w:val="00C51335"/>
    <w:rsid w:val="00CD465A"/>
    <w:rsid w:val="00D741BA"/>
    <w:rsid w:val="00DB0F09"/>
    <w:rsid w:val="00DD68D3"/>
    <w:rsid w:val="00DE1AE0"/>
    <w:rsid w:val="00E03358"/>
    <w:rsid w:val="00E34D2F"/>
    <w:rsid w:val="00E73577"/>
    <w:rsid w:val="00F30A59"/>
    <w:rsid w:val="00FC0333"/>
    <w:rsid w:val="0F3C801A"/>
    <w:rsid w:val="0FD76549"/>
    <w:rsid w:val="1EBF4445"/>
    <w:rsid w:val="1FF901AB"/>
    <w:rsid w:val="279DD8C7"/>
    <w:rsid w:val="2B4C66D3"/>
    <w:rsid w:val="2EE7734E"/>
    <w:rsid w:val="2FBE4A37"/>
    <w:rsid w:val="397FA6CB"/>
    <w:rsid w:val="3DFFBDE6"/>
    <w:rsid w:val="3E7F554B"/>
    <w:rsid w:val="3EFD5EAF"/>
    <w:rsid w:val="3EFF9BBE"/>
    <w:rsid w:val="3FB20DA5"/>
    <w:rsid w:val="3FDAE949"/>
    <w:rsid w:val="3FEF146F"/>
    <w:rsid w:val="3FF921D8"/>
    <w:rsid w:val="3FFEE766"/>
    <w:rsid w:val="4C776D50"/>
    <w:rsid w:val="4F9B6378"/>
    <w:rsid w:val="567F961F"/>
    <w:rsid w:val="5CBF2D71"/>
    <w:rsid w:val="5CBF56CB"/>
    <w:rsid w:val="5CEC48E8"/>
    <w:rsid w:val="5F6362B6"/>
    <w:rsid w:val="5FDFAED7"/>
    <w:rsid w:val="63FCE071"/>
    <w:rsid w:val="65E47E49"/>
    <w:rsid w:val="65EB9252"/>
    <w:rsid w:val="6EBAD966"/>
    <w:rsid w:val="757F7139"/>
    <w:rsid w:val="75DF9867"/>
    <w:rsid w:val="76004D7C"/>
    <w:rsid w:val="762E5AD2"/>
    <w:rsid w:val="76F7692D"/>
    <w:rsid w:val="76FFEBDE"/>
    <w:rsid w:val="773B1A4B"/>
    <w:rsid w:val="77B751A3"/>
    <w:rsid w:val="77B7BB7B"/>
    <w:rsid w:val="77DE7CAD"/>
    <w:rsid w:val="77EC1EE1"/>
    <w:rsid w:val="77FF5CA0"/>
    <w:rsid w:val="7BFE537C"/>
    <w:rsid w:val="7D2D1EB2"/>
    <w:rsid w:val="7DFA811C"/>
    <w:rsid w:val="7ED82893"/>
    <w:rsid w:val="7EEFF121"/>
    <w:rsid w:val="7EF325E3"/>
    <w:rsid w:val="7EFA417E"/>
    <w:rsid w:val="7F5BCB66"/>
    <w:rsid w:val="7F6C61F8"/>
    <w:rsid w:val="7F6DDFB4"/>
    <w:rsid w:val="7F7B8285"/>
    <w:rsid w:val="7F7D7B16"/>
    <w:rsid w:val="7FB5EF8D"/>
    <w:rsid w:val="7FBB3A50"/>
    <w:rsid w:val="7FDF10A1"/>
    <w:rsid w:val="7FDFDD91"/>
    <w:rsid w:val="7FED7A22"/>
    <w:rsid w:val="7FEE241D"/>
    <w:rsid w:val="7FFB65E0"/>
    <w:rsid w:val="7FFC1642"/>
    <w:rsid w:val="7FFE77D3"/>
    <w:rsid w:val="8FDEC781"/>
    <w:rsid w:val="9D6B827C"/>
    <w:rsid w:val="9DBF1FB1"/>
    <w:rsid w:val="A1F0A075"/>
    <w:rsid w:val="A3BB61DC"/>
    <w:rsid w:val="AB9F49C7"/>
    <w:rsid w:val="AE1CD9AF"/>
    <w:rsid w:val="AF4E6021"/>
    <w:rsid w:val="B7B10B51"/>
    <w:rsid w:val="B7FBB30B"/>
    <w:rsid w:val="BBB7E3CE"/>
    <w:rsid w:val="BCD77AB0"/>
    <w:rsid w:val="BD3C1455"/>
    <w:rsid w:val="BFA71D9C"/>
    <w:rsid w:val="BFB3A3A4"/>
    <w:rsid w:val="BFEC6F7F"/>
    <w:rsid w:val="BFFFA707"/>
    <w:rsid w:val="C67FFA4F"/>
    <w:rsid w:val="C7C58A06"/>
    <w:rsid w:val="CE761304"/>
    <w:rsid w:val="CF2D6C10"/>
    <w:rsid w:val="CFE3011F"/>
    <w:rsid w:val="D4FE832F"/>
    <w:rsid w:val="D5DA0AF0"/>
    <w:rsid w:val="DB4FE7E3"/>
    <w:rsid w:val="DBEF5071"/>
    <w:rsid w:val="DDFFC43B"/>
    <w:rsid w:val="DF5F6F19"/>
    <w:rsid w:val="DFCF6F95"/>
    <w:rsid w:val="DFDEE11B"/>
    <w:rsid w:val="E6BA4B44"/>
    <w:rsid w:val="EBDBDD13"/>
    <w:rsid w:val="EBEB66D6"/>
    <w:rsid w:val="EEDFD7BA"/>
    <w:rsid w:val="EFB5A9A5"/>
    <w:rsid w:val="EFDF4474"/>
    <w:rsid w:val="F1BEDD83"/>
    <w:rsid w:val="F1D1DCB3"/>
    <w:rsid w:val="F532F2B9"/>
    <w:rsid w:val="F5FC5A02"/>
    <w:rsid w:val="F5FF8F78"/>
    <w:rsid w:val="F6E3D23D"/>
    <w:rsid w:val="F6FF436F"/>
    <w:rsid w:val="F77D8D5C"/>
    <w:rsid w:val="F8E7EB4D"/>
    <w:rsid w:val="FAEF4A6D"/>
    <w:rsid w:val="FAF3843A"/>
    <w:rsid w:val="FB5FBB9F"/>
    <w:rsid w:val="FB9D6E12"/>
    <w:rsid w:val="FBEFE373"/>
    <w:rsid w:val="FC4E33B0"/>
    <w:rsid w:val="FCEFD6F6"/>
    <w:rsid w:val="FD565E0D"/>
    <w:rsid w:val="FD57164C"/>
    <w:rsid w:val="FD7F94A0"/>
    <w:rsid w:val="FDDFDDAE"/>
    <w:rsid w:val="FEAE486A"/>
    <w:rsid w:val="FF10F740"/>
    <w:rsid w:val="FF73E0DD"/>
    <w:rsid w:val="FFA9BBB2"/>
    <w:rsid w:val="FFB71AEF"/>
    <w:rsid w:val="FFDAF836"/>
    <w:rsid w:val="FFDF822B"/>
    <w:rsid w:val="FFFB5DD1"/>
    <w:rsid w:val="FFFD910B"/>
    <w:rsid w:val="FFFF8A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0"/>
    <w:pPr>
      <w:keepNext/>
      <w:keepLines/>
      <w:spacing w:beforeLines="100" w:afterLines="100"/>
      <w:jc w:val="center"/>
      <w:outlineLvl w:val="0"/>
    </w:pPr>
    <w:rPr>
      <w:b/>
      <w:bCs/>
      <w:kern w:val="44"/>
      <w:sz w:val="44"/>
      <w:szCs w:val="4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alloon Text"/>
    <w:basedOn w:val="1"/>
    <w:link w:val="12"/>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100" w:beforeAutospacing="1" w:after="100" w:afterAutospacing="1"/>
      <w:jc w:val="left"/>
    </w:pPr>
    <w:rPr>
      <w:kern w:val="0"/>
      <w:sz w:val="24"/>
      <w:szCs w:val="24"/>
    </w:rPr>
  </w:style>
  <w:style w:type="character" w:styleId="10">
    <w:name w:val="Strong"/>
    <w:basedOn w:val="9"/>
    <w:qFormat/>
    <w:uiPriority w:val="0"/>
    <w:rPr>
      <w:b/>
    </w:rPr>
  </w:style>
  <w:style w:type="character" w:customStyle="1" w:styleId="11">
    <w:name w:val="标题 1 Char"/>
    <w:basedOn w:val="9"/>
    <w:link w:val="2"/>
    <w:qFormat/>
    <w:uiPriority w:val="0"/>
    <w:rPr>
      <w:b/>
      <w:bCs/>
      <w:kern w:val="44"/>
      <w:sz w:val="44"/>
      <w:szCs w:val="44"/>
    </w:rPr>
  </w:style>
  <w:style w:type="character" w:customStyle="1" w:styleId="12">
    <w:name w:val="批注框文本 Char"/>
    <w:link w:val="3"/>
    <w:semiHidden/>
    <w:qFormat/>
    <w:uiPriority w:val="99"/>
    <w:rPr>
      <w:sz w:val="18"/>
      <w:szCs w:val="18"/>
    </w:rPr>
  </w:style>
  <w:style w:type="character" w:customStyle="1" w:styleId="13">
    <w:name w:val="页脚 Char"/>
    <w:link w:val="4"/>
    <w:qFormat/>
    <w:uiPriority w:val="99"/>
    <w:rPr>
      <w:sz w:val="18"/>
      <w:szCs w:val="18"/>
    </w:rPr>
  </w:style>
  <w:style w:type="character" w:customStyle="1" w:styleId="14">
    <w:name w:val="页眉 Char"/>
    <w:link w:val="5"/>
    <w:qFormat/>
    <w:uiPriority w:val="99"/>
    <w:rPr>
      <w:sz w:val="18"/>
      <w:szCs w:val="18"/>
    </w:rPr>
  </w:style>
  <w:style w:type="paragraph" w:customStyle="1" w:styleId="15">
    <w:name w:val="0"/>
    <w:basedOn w:val="1"/>
    <w:qFormat/>
    <w:uiPriority w:val="0"/>
    <w:pPr>
      <w:widowControl/>
      <w:spacing w:before="100" w:beforeAutospacing="1" w:after="100" w:afterAutospacing="1"/>
      <w:jc w:val="left"/>
    </w:pPr>
    <w:rPr>
      <w:rFonts w:ascii="宋体" w:hAnsi="宋体" w:cs="宋体"/>
      <w:kern w:val="0"/>
      <w:sz w:val="24"/>
      <w:szCs w:val="24"/>
    </w:rPr>
  </w:style>
  <w:style w:type="paragraph" w:styleId="16">
    <w:name w:val="List Paragraph"/>
    <w:basedOn w:val="1"/>
    <w:qFormat/>
    <w:uiPriority w:val="0"/>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1047</Words>
  <Characters>5970</Characters>
  <Lines>49</Lines>
  <Paragraphs>14</Paragraphs>
  <TotalTime>19</TotalTime>
  <ScaleCrop>false</ScaleCrop>
  <LinksUpToDate>false</LinksUpToDate>
  <CharactersWithSpaces>7003</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2024-09-05T08:25:00Z</dcterms:created>
  <dc:creator>孟庆</dc:creator>
  <cp:lastModifiedBy>user</cp:lastModifiedBy>
  <cp:lastPrinted>2024-11-24T02:34:00Z</cp:lastPrinted>
  <dcterms:modified xsi:type="dcterms:W3CDTF">2024-11-29T16:23:14Z</dcterms:modified>
  <dc:title>关于加快发展企业年金的指导意见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5C3CCD1C89A6526056F8CE66B4654638</vt:lpwstr>
  </property>
</Properties>
</file>